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Historia · 69_HIS</w:t>
      </w:r>
    </w:p>
    <w:p>
      <w:pPr>
        <w:pStyle w:val="Heading2"/>
      </w:pPr>
      <w:r>
        <w:t>PDA oficial</w:t>
      </w:r>
    </w:p>
    <w:p>
      <w:r>
        <w:t>Compara y encuentra lo común y lo diverso entre mitos fundacionales de pueblos antiguos de México y de otras partes del mundo.</w:t>
      </w:r>
    </w:p>
    <w:p>
      <w:pPr>
        <w:pStyle w:val="Heading2"/>
      </w:pPr>
      <w:r>
        <w:t>Producto final aprobado</w:t>
      </w:r>
    </w:p>
    <w:p>
      <w:r>
        <w:t>Tablero de correspondencias entre mitos fundacionales</w:t>
      </w:r>
    </w:p>
    <w:p>
      <w:pPr>
        <w:pStyle w:val="Heading2"/>
      </w:pPr>
      <w:r>
        <w:t>Actividad inicial con ejemplo resuelto</w:t>
      </w:r>
    </w:p>
    <w:p>
      <w:r>
        <w:t>Comparar dos relatos de origen en tabla de personajes y semejanzas.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Dos mitos pueden explicar el origen del mundo de maneras distintas; se comparan personajes y acontecimientos.</w:t>
      </w:r>
    </w:p>
    <w:p>
      <w:r>
        <w:t>RESPUESTA / CRITERIO DE CORRECCIÓN: Las semejanzas son elementos compartidos; las diferencias son rasgos distintos.</w:t>
      </w:r>
    </w:p>
    <w:p>
      <w:pPr>
        <w:pStyle w:val="Heading2"/>
      </w:pPr>
      <w:r>
        <w:t>Práctica guiada 1</w:t>
      </w:r>
    </w:p>
    <w:p>
      <w:r>
        <w:t>Aplica el mismo procedimiento a un caso nuevo: Comparar dos relatos de origen en tabla de personajes y semejanzas.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Comparar dos relatos de origen en tabla de personajes y semejanzas.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Las semejanzas son elementos compartidos; las diferencias son rasgos distintos.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