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apoyo para rezago</w:t>
      </w:r>
    </w:p>
    <w:p>
      <w:r>
        <w:t>Inglés · 64_ING</w:t>
      </w:r>
    </w:p>
    <w:p>
      <w:pPr>
        <w:pStyle w:val="Heading2"/>
      </w:pPr>
      <w:r>
        <w:t>PDA oficial</w:t>
      </w:r>
    </w:p>
    <w:p>
      <w:r>
        <w:t>Elabora un cómic o manga en inglés sobre situaciones donde se rescata la importancia de la interculturalidad.</w:t>
      </w:r>
    </w:p>
    <w:p>
      <w:pPr>
        <w:pStyle w:val="Heading2"/>
      </w:pPr>
      <w:r>
        <w:t>Producto final aprobado</w:t>
      </w:r>
    </w:p>
    <w:p>
      <w:r>
        <w:t>Minicómic encuadernado de encuentro intercultural en inglés</w:t>
      </w:r>
    </w:p>
    <w:p>
      <w:pPr>
        <w:pStyle w:val="Heading2"/>
      </w:pPr>
      <w:r>
        <w:t>Actividad inicial con ejemplo resuelto</w:t>
      </w:r>
    </w:p>
    <w:p>
      <w:r>
        <w:t>Ordenar viñetas y completar Hello, I respect, Let’s learn.</w:t>
      </w:r>
    </w:p>
    <w:p>
      <w:r>
        <w:t>PASO 1. Lee el caso o ejemplo impreso. Subraya el dato o idea principal.</w:t>
      </w:r>
    </w:p>
    <w:p>
      <w:r>
        <w:t>PASO 2. Observa cómo se resuelve el ejemplo: identifica qué se pide, relaciona la información y justifica la respuesta.</w:t>
      </w:r>
    </w:p>
    <w:p>
      <w:r>
        <w:t>PASO 3. Completa el ejercicio semejante usando una tabla o esquema.</w:t>
      </w:r>
    </w:p>
    <w:p>
      <w:r>
        <w:t>PASO 4. Comprueba con la respuesta modelo y corrige en otro color.</w:t>
      </w:r>
    </w:p>
    <w:p>
      <w:r>
        <w:t>EJEMPLO RESUELTO: A: Hello! B: Welcome! A: I respect your culture. B: Let’s learn together.</w:t>
      </w:r>
    </w:p>
    <w:p>
      <w:r>
        <w:t>RESPUESTA / CRITERIO DE CORRECCIÓN: Los personajes dialogan respetuosamente y llegan a un acuerdo.</w:t>
      </w:r>
    </w:p>
    <w:p>
      <w:pPr>
        <w:pStyle w:val="Heading2"/>
      </w:pPr>
      <w:r>
        <w:t>Práctica guiada 1</w:t>
      </w:r>
    </w:p>
    <w:p>
      <w:r>
        <w:t>Aplica el mismo procedimiento a un caso nuevo: Ordenar viñetas y completar Hello, I respect, Let’s learn.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2</w:t>
      </w:r>
    </w:p>
    <w:p>
      <w:r>
        <w:t>Aplica el mismo procedimiento a un caso nuevo: Ordenar viñetas y completar Hello, I respect, Let’s learn.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3</w:t>
      </w:r>
    </w:p>
    <w:p>
      <w:r>
        <w:t>Aplica el mismo procedimiento a un caso nuevo: Ordenar viñetas y completar Hello, I respect, Let’s learn.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4</w:t>
      </w:r>
    </w:p>
    <w:p>
      <w:r>
        <w:t>Aplica el mismo procedimiento a un caso nuevo: Ordenar viñetas y completar Hello, I respect, Let’s learn.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5</w:t>
      </w:r>
    </w:p>
    <w:p>
      <w:r>
        <w:t>Aplica el mismo procedimiento a un caso nuevo: Ordenar viñetas y completar Hello, I respect, Let’s learn.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6</w:t>
      </w:r>
    </w:p>
    <w:p>
      <w:r>
        <w:t>Aplica el mismo procedimiento a un caso nuevo: Ordenar viñetas y completar Hello, I respect, Let’s learn.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7</w:t>
      </w:r>
    </w:p>
    <w:p>
      <w:r>
        <w:t>Aplica el mismo procedimiento a un caso nuevo: Ordenar viñetas y completar Hello, I respect, Let’s learn.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Clave y evidencias</w:t>
      </w:r>
    </w:p>
    <w:p>
      <w:r>
        <w:t>Evidencia mínima: tabla, dibujo o explicación escrita completada y corregida.</w:t>
      </w:r>
    </w:p>
    <w:p>
      <w:r>
        <w:t>Clave orientadora: Los personajes dialogan respetuosamente y llegan a un acuerdo. No se requieren experiencias personales ni acceso digital.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