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ORDEN_103_TUT_1_R4_PDA4 · Educación Socioemocional / Tutoría · 1.º grado</w:t>
      </w:r>
    </w:p>
    <w:p>
      <w:pPr>
        <w:pStyle w:val="Heading2"/>
      </w:pPr>
      <w:r>
        <w:t>Nuestro desafío</w:t>
      </w:r>
    </w:p>
    <w:p>
      <w:r>
        <w:t>Construir «Brújula de metas a corto, mediano y largo plazo» para demostrar el PDA: Reconoce cambios presentes a lo largo de la vida y en la adolescencia para definir metas personales y en colectivo, a alcanzar en un corto, mediano y largo plazo.</w:t>
      </w:r>
    </w:p>
    <w:p>
      <w:pPr>
        <w:pStyle w:val="Heading2"/>
      </w:pPr>
      <w:r>
        <w:t>Lectura y comprensión</w:t>
      </w:r>
    </w:p>
    <w:p>
      <w:r>
        <w:t>Contenido oficial: Construcción del proyecto de vida..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«Construcción del proyecto de vida.», separar observaciones de suposiciones y formular una pregunta que oriente «Brújula de metas a corto, mediano y largo plazo».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«Construcción del proyecto de vida.»,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«Brújula de metas a corto, mediano y largo plazo»;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«Brújula de metas a corto, mediano y largo plazo» aplicando «Construcción del proyecto de vida.»;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«Brújula de metas a corto, mediano y largo plazo»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