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ORDEN_102_TEC_1_R4_PDA4 · Tecnología · 1.º grado</w:t>
      </w:r>
    </w:p>
    <w:p>
      <w:pPr>
        <w:pStyle w:val="Heading2"/>
      </w:pPr>
      <w:r>
        <w:t>Nuestro desafío</w:t>
      </w:r>
    </w:p>
    <w:p>
      <w:r>
        <w:t>Construir «Auditoría de sesgos en el diseño técnico» para demostrar el PDA: Comprende la satisfacción de necesidades como la base de la creación e innovación técnica para reflexionar acerca de la influencia de intereses, prejuicios, estereotipos y aspiraciones, que favorecen o limitan la igualdad de oportunidades, en el desarrollo de procesos técnicos.</w:t>
      </w:r>
    </w:p>
    <w:p>
      <w:pPr>
        <w:pStyle w:val="Heading2"/>
      </w:pPr>
      <w:r>
        <w:t>Lectura y comprensión</w:t>
      </w:r>
    </w:p>
    <w:p>
      <w:r>
        <w:t>Contenido oficial: Factores que inciden en los procesos técnicos..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«Factores que inciden en los procesos técnicos.», separar observaciones de suposiciones y formular una pregunta que oriente «Auditoría de sesgos en el diseño técnico».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«Factores que inciden en los procesos técnicos.»,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«Auditoría de sesgos en el diseño técnico»;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«Auditoría de sesgos en el diseño técnico» aplicando «Factores que inciden en los procesos técnicos.»;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«Auditoría de sesgos en el diseño técnico»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